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F04" w:rsidRDefault="006E0396">
      <w:pPr>
        <w:spacing w:after="0"/>
        <w:jc w:val="right"/>
      </w:pPr>
      <w:r>
        <w:rPr>
          <w:rFonts w:ascii="Lato Black"/>
          <w:b/>
        </w:rPr>
        <w:t>MSBA Core Manual</w:t>
      </w:r>
    </w:p>
    <w:p w:rsidR="00EB6F04" w:rsidRDefault="006E0396">
      <w:pPr>
        <w:spacing w:after="160"/>
        <w:jc w:val="right"/>
      </w:pPr>
      <w:r>
        <w:rPr>
          <w:rFonts w:ascii="Lato Black"/>
          <w:b/>
        </w:rPr>
        <w:t>Basic Policy Management Services</w:t>
      </w:r>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000" w:firstRow="0" w:lastRow="0" w:firstColumn="0" w:lastColumn="0" w:noHBand="0" w:noVBand="0"/>
      </w:tblPr>
      <w:tblGrid>
        <w:gridCol w:w="7701"/>
        <w:gridCol w:w="1925"/>
      </w:tblGrid>
      <w:tr w:rsidR="00EB6F04">
        <w:tc>
          <w:tcPr>
            <w:tcW w:w="0" w:type="auto"/>
            <w:shd w:val="clear" w:color="auto" w:fill="EFEFEF"/>
          </w:tcPr>
          <w:p w:rsidR="00EB6F04" w:rsidRDefault="006E0396">
            <w:pPr>
              <w:spacing w:after="0"/>
            </w:pPr>
            <w:r>
              <w:rPr>
                <w:rFonts w:ascii="Lato Black"/>
                <w:b/>
              </w:rPr>
              <w:t>Policy JGGA: SECLUSION  AND  RESTRAINT</w:t>
            </w:r>
          </w:p>
        </w:tc>
        <w:tc>
          <w:tcPr>
            <w:tcW w:w="1000" w:type="pct"/>
            <w:shd w:val="clear" w:color="auto" w:fill="EFEFEF"/>
          </w:tcPr>
          <w:p w:rsidR="00EB6F04" w:rsidRDefault="006E0396">
            <w:r>
              <w:rPr>
                <w:rFonts w:ascii="Lato Black"/>
                <w:b/>
              </w:rPr>
              <w:t xml:space="preserve">Status: </w:t>
            </w:r>
            <w:r>
              <w:rPr>
                <w:rFonts w:ascii="Lato"/>
              </w:rPr>
              <w:t>ADOPTED</w:t>
            </w:r>
          </w:p>
        </w:tc>
      </w:tr>
      <w:tr w:rsidR="00EB6F04">
        <w:tc>
          <w:tcPr>
            <w:tcW w:w="0" w:type="auto"/>
            <w:shd w:val="clear" w:color="auto" w:fill="EFEFEF"/>
          </w:tcPr>
          <w:p w:rsidR="00EB6F04" w:rsidRDefault="006E0396">
            <w:r>
              <w:rPr>
                <w:rFonts w:ascii="Lato Black"/>
                <w:b/>
                <w:sz w:val="18"/>
              </w:rPr>
              <w:t xml:space="preserve">Original Adopted Date: </w:t>
            </w:r>
            <w:r>
              <w:rPr>
                <w:rFonts w:ascii="Lato"/>
                <w:sz w:val="18"/>
              </w:rPr>
              <w:t>01/23/2020</w:t>
            </w:r>
            <w:r>
              <w:rPr>
                <w:rFonts w:ascii="Lato Black"/>
                <w:b/>
                <w:sz w:val="18"/>
              </w:rPr>
              <w:t xml:space="preserve"> | Last Revised Date: </w:t>
            </w:r>
            <w:r>
              <w:rPr>
                <w:rFonts w:ascii="Lato"/>
                <w:sz w:val="18"/>
              </w:rPr>
              <w:t>03/22/2022</w:t>
            </w:r>
            <w:r>
              <w:rPr>
                <w:rFonts w:ascii="Lato Black"/>
                <w:b/>
                <w:sz w:val="18"/>
              </w:rPr>
              <w:t xml:space="preserve"> | Last Reviewed Date: </w:t>
            </w:r>
            <w:r>
              <w:rPr>
                <w:rFonts w:ascii="Lato"/>
                <w:sz w:val="18"/>
              </w:rPr>
              <w:t>03/22/2022</w:t>
            </w:r>
            <w:r w:rsidR="005045F3">
              <w:rPr>
                <w:rFonts w:ascii="Lato"/>
                <w:sz w:val="18"/>
              </w:rPr>
              <w:t>; 1/19/2023</w:t>
            </w:r>
          </w:p>
        </w:tc>
        <w:tc>
          <w:tcPr>
            <w:tcW w:w="0" w:type="auto"/>
            <w:shd w:val="clear" w:color="auto" w:fill="EFEFEF"/>
          </w:tcPr>
          <w:p w:rsidR="00EB6F04" w:rsidRDefault="00EB6F04">
            <w:pPr>
              <w:spacing w:after="0"/>
            </w:pPr>
          </w:p>
        </w:tc>
      </w:tr>
    </w:tbl>
    <w:p w:rsidR="00EB6F04" w:rsidRDefault="00EB6F04">
      <w:pPr>
        <w:spacing w:after="30"/>
        <w:jc w:val="right"/>
      </w:pPr>
    </w:p>
    <w:p w:rsidR="000A7544" w:rsidRDefault="006E0396">
      <w:pPr>
        <w:divId w:val="1086457361"/>
        <w:rPr>
          <w:rFonts w:ascii="Lato" w:eastAsia="Times New Roman" w:hAnsi="Lato"/>
        </w:rPr>
      </w:pPr>
      <w:r>
        <w:rPr>
          <w:rFonts w:ascii="Lato" w:eastAsia="Times New Roman" w:hAnsi="Lato"/>
        </w:rPr>
        <w:t xml:space="preserve">The district will treat all students with dignity and provide a safe learning environment for students and a safe working environment for district personnel. Seclusion and restraint interventions will be used only when necessary and in accordance with this </w:t>
      </w:r>
      <w:proofErr w:type="gramStart"/>
      <w:r>
        <w:rPr>
          <w:rFonts w:ascii="Lato" w:eastAsia="Times New Roman" w:hAnsi="Lato"/>
        </w:rPr>
        <w:t>policy,</w:t>
      </w:r>
      <w:proofErr w:type="gramEnd"/>
      <w:r>
        <w:rPr>
          <w:rFonts w:ascii="Lato" w:eastAsia="Times New Roman" w:hAnsi="Lato"/>
        </w:rPr>
        <w:t xml:space="preserve"> and they will never be used as a form of punishment or for the convenience of district personnel. The restrictions in this policy apply to the district and any other provider of educational or related services to the student on behalf of the district.</w:t>
      </w:r>
      <w:r>
        <w:rPr>
          <w:rFonts w:ascii="Lato" w:eastAsia="Times New Roman" w:hAnsi="Lato"/>
        </w:rPr>
        <w:br/>
      </w:r>
      <w:r>
        <w:rPr>
          <w:rFonts w:ascii="Lato" w:eastAsia="Times New Roman" w:hAnsi="Lato"/>
        </w:rPr>
        <w:br/>
        <w:t>The board directs the superinten</w:t>
      </w:r>
      <w:bookmarkStart w:id="0" w:name="_GoBack"/>
      <w:r>
        <w:rPr>
          <w:rFonts w:ascii="Lato" w:eastAsia="Times New Roman" w:hAnsi="Lato"/>
        </w:rPr>
        <w:t>d</w:t>
      </w:r>
      <w:bookmarkEnd w:id="0"/>
      <w:r>
        <w:rPr>
          <w:rFonts w:ascii="Lato" w:eastAsia="Times New Roman" w:hAnsi="Lato"/>
        </w:rPr>
        <w:t xml:space="preserve">ent or designee to train and direct district personnel to use with fidelity measures to proactively address student behaviors, such as positive behavior support techniques, and to identify students with disabilities who may need behavior intervention plans. </w:t>
      </w:r>
    </w:p>
    <w:p w:rsidR="000A7544" w:rsidRDefault="006E0396">
      <w:pPr>
        <w:pStyle w:val="Heading3"/>
        <w:divId w:val="1086457361"/>
        <w:rPr>
          <w:rFonts w:ascii="Lato" w:eastAsia="Times New Roman" w:hAnsi="Lato"/>
        </w:rPr>
      </w:pPr>
      <w:r>
        <w:rPr>
          <w:rFonts w:ascii="Lato" w:eastAsia="Times New Roman" w:hAnsi="Lato"/>
        </w:rPr>
        <w:t>Definitions</w:t>
      </w:r>
    </w:p>
    <w:p w:rsidR="000A7544" w:rsidRDefault="006E0396">
      <w:pPr>
        <w:divId w:val="1086457361"/>
        <w:rPr>
          <w:rFonts w:ascii="Lato" w:eastAsia="Times New Roman" w:hAnsi="Lato"/>
        </w:rPr>
      </w:pPr>
      <w:r>
        <w:rPr>
          <w:rFonts w:ascii="Lato" w:eastAsia="Times New Roman" w:hAnsi="Lato"/>
        </w:rPr>
        <w:br/>
      </w:r>
      <w:r>
        <w:rPr>
          <w:rStyle w:val="Emphasis"/>
          <w:rFonts w:ascii="Lato" w:eastAsia="Times New Roman" w:hAnsi="Lato"/>
        </w:rPr>
        <w:t xml:space="preserve">Behavior Intervention Plan (BIP) </w:t>
      </w:r>
      <w:r>
        <w:rPr>
          <w:rFonts w:ascii="Lato" w:eastAsia="Times New Roman" w:hAnsi="Lato"/>
        </w:rPr>
        <w:t>– A plan that sets forth specific behavior interventions for a specific student who displays chronic patterns of problem behavior.</w:t>
      </w:r>
      <w:r>
        <w:rPr>
          <w:rFonts w:ascii="Lato" w:eastAsia="Times New Roman" w:hAnsi="Lato"/>
        </w:rPr>
        <w:br/>
      </w:r>
      <w:r>
        <w:rPr>
          <w:rFonts w:ascii="Lato" w:eastAsia="Times New Roman" w:hAnsi="Lato"/>
        </w:rPr>
        <w:br/>
      </w:r>
      <w:proofErr w:type="gramStart"/>
      <w:r>
        <w:rPr>
          <w:rStyle w:val="Emphasis"/>
          <w:rFonts w:ascii="Lato" w:eastAsia="Times New Roman" w:hAnsi="Lato"/>
        </w:rPr>
        <w:t>District Personnel</w:t>
      </w:r>
      <w:r>
        <w:rPr>
          <w:rFonts w:ascii="Lato" w:eastAsia="Times New Roman" w:hAnsi="Lato"/>
        </w:rPr>
        <w:t xml:space="preserve"> – All persons employed by the district or performing services on behalf of or at the direction of the district, including persons working with students as independent contractors or on behalf of an independent contractor.</w:t>
      </w:r>
      <w:proofErr w:type="gramEnd"/>
      <w:r>
        <w:rPr>
          <w:rFonts w:ascii="Lato" w:eastAsia="Times New Roman" w:hAnsi="Lato"/>
        </w:rPr>
        <w:br/>
      </w:r>
      <w:r>
        <w:rPr>
          <w:rFonts w:ascii="Lato" w:eastAsia="Times New Roman" w:hAnsi="Lato"/>
        </w:rPr>
        <w:br/>
      </w:r>
      <w:proofErr w:type="gramStart"/>
      <w:r>
        <w:rPr>
          <w:rStyle w:val="Emphasis"/>
          <w:rFonts w:ascii="Lato" w:eastAsia="Times New Roman" w:hAnsi="Lato"/>
        </w:rPr>
        <w:t>Mechanical Restraint</w:t>
      </w:r>
      <w:r>
        <w:rPr>
          <w:rFonts w:ascii="Lato" w:eastAsia="Times New Roman" w:hAnsi="Lato"/>
        </w:rPr>
        <w:t xml:space="preserve"> – The use of any device or equipment to restrict a student's freedom of movement.</w:t>
      </w:r>
      <w:proofErr w:type="gramEnd"/>
      <w:r>
        <w:rPr>
          <w:rFonts w:ascii="Lato" w:eastAsia="Times New Roman" w:hAnsi="Lato"/>
        </w:rPr>
        <w:t xml:space="preserve"> This term shall not include devices implemented by trained personnel or used by a student with a prescription for such devices from an appropriate medical or related service professional that are used for specific and approved purposes for which such devices were designed, such as the following: </w:t>
      </w:r>
    </w:p>
    <w:p w:rsidR="000A7544" w:rsidRDefault="006E0396">
      <w:pPr>
        <w:numPr>
          <w:ilvl w:val="0"/>
          <w:numId w:val="1"/>
        </w:numPr>
        <w:spacing w:before="100" w:beforeAutospacing="1" w:after="100" w:afterAutospacing="1" w:line="240" w:lineRule="auto"/>
        <w:divId w:val="1086457361"/>
        <w:rPr>
          <w:rFonts w:ascii="Lato" w:eastAsia="Times New Roman" w:hAnsi="Lato"/>
        </w:rPr>
      </w:pPr>
      <w:r>
        <w:rPr>
          <w:rFonts w:ascii="Lato" w:eastAsia="Times New Roman" w:hAnsi="Lato"/>
        </w:rPr>
        <w:t>Adaptive devices or mechanical supports used to achieve proper body position, balance or alignment to allow greater freedom of mobility than would be possible without the use of such devices or mechanical supports;</w:t>
      </w:r>
      <w:r>
        <w:rPr>
          <w:rFonts w:ascii="Lato" w:eastAsia="Times New Roman" w:hAnsi="Lato"/>
        </w:rPr>
        <w:br/>
        <w:t> </w:t>
      </w:r>
    </w:p>
    <w:p w:rsidR="000A7544" w:rsidRDefault="006E0396">
      <w:pPr>
        <w:numPr>
          <w:ilvl w:val="0"/>
          <w:numId w:val="1"/>
        </w:numPr>
        <w:spacing w:before="100" w:beforeAutospacing="1" w:after="100" w:afterAutospacing="1" w:line="240" w:lineRule="auto"/>
        <w:divId w:val="1086457361"/>
        <w:rPr>
          <w:rFonts w:ascii="Lato" w:eastAsia="Times New Roman" w:hAnsi="Lato"/>
        </w:rPr>
      </w:pPr>
      <w:r>
        <w:rPr>
          <w:rFonts w:ascii="Lato" w:eastAsia="Times New Roman" w:hAnsi="Lato"/>
        </w:rPr>
        <w:t>Vehicle safety restraints when used as intended during the transport of a student in a moving vehicle;</w:t>
      </w:r>
      <w:r>
        <w:rPr>
          <w:rFonts w:ascii="Lato" w:eastAsia="Times New Roman" w:hAnsi="Lato"/>
        </w:rPr>
        <w:br/>
        <w:t> </w:t>
      </w:r>
    </w:p>
    <w:p w:rsidR="000A7544" w:rsidRDefault="006E0396">
      <w:pPr>
        <w:numPr>
          <w:ilvl w:val="0"/>
          <w:numId w:val="1"/>
        </w:numPr>
        <w:spacing w:before="100" w:beforeAutospacing="1" w:after="100" w:afterAutospacing="1" w:line="240" w:lineRule="auto"/>
        <w:divId w:val="1086457361"/>
        <w:rPr>
          <w:rFonts w:ascii="Lato" w:eastAsia="Times New Roman" w:hAnsi="Lato"/>
        </w:rPr>
      </w:pPr>
      <w:r>
        <w:rPr>
          <w:rFonts w:ascii="Lato" w:eastAsia="Times New Roman" w:hAnsi="Lato"/>
        </w:rPr>
        <w:t>Restraints for medical immobilization; or</w:t>
      </w:r>
      <w:r>
        <w:rPr>
          <w:rFonts w:ascii="Lato" w:eastAsia="Times New Roman" w:hAnsi="Lato"/>
        </w:rPr>
        <w:br/>
        <w:t> </w:t>
      </w:r>
    </w:p>
    <w:p w:rsidR="000A7544" w:rsidRDefault="006E0396">
      <w:pPr>
        <w:numPr>
          <w:ilvl w:val="0"/>
          <w:numId w:val="1"/>
        </w:numPr>
        <w:spacing w:before="100" w:beforeAutospacing="1" w:after="100" w:afterAutospacing="1" w:line="240" w:lineRule="auto"/>
        <w:divId w:val="1086457361"/>
        <w:rPr>
          <w:rFonts w:ascii="Lato" w:eastAsia="Times New Roman" w:hAnsi="Lato"/>
        </w:rPr>
      </w:pPr>
      <w:r>
        <w:rPr>
          <w:rFonts w:ascii="Lato" w:eastAsia="Times New Roman" w:hAnsi="Lato"/>
        </w:rPr>
        <w:t>Orthopedically prescribed devices that permit a student to participate in activities without risk.</w:t>
      </w:r>
    </w:p>
    <w:p w:rsidR="000A7544" w:rsidRDefault="006E0396">
      <w:pPr>
        <w:spacing w:after="0"/>
        <w:divId w:val="1086457361"/>
        <w:rPr>
          <w:rFonts w:ascii="Lato" w:eastAsia="Times New Roman" w:hAnsi="Lato"/>
        </w:rPr>
      </w:pPr>
      <w:r>
        <w:rPr>
          <w:rStyle w:val="Emphasis"/>
          <w:rFonts w:ascii="Lato" w:eastAsia="Times New Roman" w:hAnsi="Lato"/>
        </w:rPr>
        <w:t xml:space="preserve">Physical Restraint </w:t>
      </w:r>
      <w:r>
        <w:rPr>
          <w:rFonts w:ascii="Lato" w:eastAsia="Times New Roman" w:hAnsi="Lato"/>
        </w:rPr>
        <w:t xml:space="preserve">– A personal restriction such as person-to-person physical contact that </w:t>
      </w:r>
      <w:proofErr w:type="gramStart"/>
      <w:r>
        <w:rPr>
          <w:rFonts w:ascii="Lato" w:eastAsia="Times New Roman" w:hAnsi="Lato"/>
        </w:rPr>
        <w:t>immobilizes,</w:t>
      </w:r>
      <w:proofErr w:type="gramEnd"/>
      <w:r>
        <w:rPr>
          <w:rFonts w:ascii="Lato" w:eastAsia="Times New Roman" w:hAnsi="Lato"/>
        </w:rPr>
        <w:t xml:space="preserve"> reduces or restricts the ability of a student to move the student's torso, arms, legs or head freely. This term shall not include: </w:t>
      </w:r>
    </w:p>
    <w:p w:rsidR="000A7544" w:rsidRDefault="006E0396">
      <w:pPr>
        <w:numPr>
          <w:ilvl w:val="0"/>
          <w:numId w:val="2"/>
        </w:numPr>
        <w:spacing w:before="100" w:beforeAutospacing="1" w:after="100" w:afterAutospacing="1" w:line="240" w:lineRule="auto"/>
        <w:divId w:val="1086457361"/>
        <w:rPr>
          <w:rFonts w:ascii="Lato" w:eastAsia="Times New Roman" w:hAnsi="Lato"/>
        </w:rPr>
      </w:pPr>
      <w:r>
        <w:rPr>
          <w:rFonts w:ascii="Lato" w:eastAsia="Times New Roman" w:hAnsi="Lato"/>
        </w:rPr>
        <w:t>A physical escort, which is a temporary touching or holding of the hand, wrists, arm, shoulder or back for the purpose of inducing a student to walk to a safe location;</w:t>
      </w:r>
      <w:r>
        <w:rPr>
          <w:rFonts w:ascii="Lato" w:eastAsia="Times New Roman" w:hAnsi="Lato"/>
        </w:rPr>
        <w:br/>
        <w:t> </w:t>
      </w:r>
    </w:p>
    <w:p w:rsidR="000A7544" w:rsidRDefault="006E0396">
      <w:pPr>
        <w:numPr>
          <w:ilvl w:val="0"/>
          <w:numId w:val="2"/>
        </w:numPr>
        <w:spacing w:before="100" w:beforeAutospacing="1" w:after="100" w:afterAutospacing="1" w:line="240" w:lineRule="auto"/>
        <w:divId w:val="1086457361"/>
        <w:rPr>
          <w:rFonts w:ascii="Lato" w:eastAsia="Times New Roman" w:hAnsi="Lato"/>
        </w:rPr>
      </w:pPr>
      <w:r>
        <w:rPr>
          <w:rFonts w:ascii="Lato" w:eastAsia="Times New Roman" w:hAnsi="Lato"/>
        </w:rPr>
        <w:lastRenderedPageBreak/>
        <w:t>Comforting or calming a student;</w:t>
      </w:r>
      <w:r>
        <w:rPr>
          <w:rFonts w:ascii="Lato" w:eastAsia="Times New Roman" w:hAnsi="Lato"/>
        </w:rPr>
        <w:br/>
        <w:t> </w:t>
      </w:r>
    </w:p>
    <w:p w:rsidR="000A7544" w:rsidRDefault="006E0396">
      <w:pPr>
        <w:numPr>
          <w:ilvl w:val="0"/>
          <w:numId w:val="2"/>
        </w:numPr>
        <w:spacing w:before="100" w:beforeAutospacing="1" w:after="100" w:afterAutospacing="1" w:line="240" w:lineRule="auto"/>
        <w:divId w:val="1086457361"/>
        <w:rPr>
          <w:rFonts w:ascii="Lato" w:eastAsia="Times New Roman" w:hAnsi="Lato"/>
        </w:rPr>
      </w:pPr>
      <w:r>
        <w:rPr>
          <w:rFonts w:ascii="Lato" w:eastAsia="Times New Roman" w:hAnsi="Lato"/>
        </w:rPr>
        <w:t>Holding a student's hand to transport the student for safety purposes;</w:t>
      </w:r>
      <w:r>
        <w:rPr>
          <w:rFonts w:ascii="Lato" w:eastAsia="Times New Roman" w:hAnsi="Lato"/>
        </w:rPr>
        <w:br/>
        <w:t> </w:t>
      </w:r>
    </w:p>
    <w:p w:rsidR="000A7544" w:rsidRDefault="006E0396">
      <w:pPr>
        <w:numPr>
          <w:ilvl w:val="0"/>
          <w:numId w:val="2"/>
        </w:numPr>
        <w:spacing w:before="100" w:beforeAutospacing="1" w:after="100" w:afterAutospacing="1" w:line="240" w:lineRule="auto"/>
        <w:divId w:val="1086457361"/>
        <w:rPr>
          <w:rFonts w:ascii="Lato" w:eastAsia="Times New Roman" w:hAnsi="Lato"/>
        </w:rPr>
      </w:pPr>
      <w:r>
        <w:rPr>
          <w:rFonts w:ascii="Lato" w:eastAsia="Times New Roman" w:hAnsi="Lato"/>
        </w:rPr>
        <w:t>Intervening in a fight; or</w:t>
      </w:r>
      <w:r>
        <w:rPr>
          <w:rFonts w:ascii="Lato" w:eastAsia="Times New Roman" w:hAnsi="Lato"/>
        </w:rPr>
        <w:br/>
        <w:t> </w:t>
      </w:r>
    </w:p>
    <w:p w:rsidR="000A7544" w:rsidRDefault="006E0396">
      <w:pPr>
        <w:numPr>
          <w:ilvl w:val="0"/>
          <w:numId w:val="2"/>
        </w:numPr>
        <w:spacing w:before="100" w:beforeAutospacing="1" w:after="100" w:afterAutospacing="1" w:line="240" w:lineRule="auto"/>
        <w:divId w:val="1086457361"/>
        <w:rPr>
          <w:rFonts w:ascii="Lato" w:eastAsia="Times New Roman" w:hAnsi="Lato"/>
        </w:rPr>
      </w:pPr>
      <w:r>
        <w:rPr>
          <w:rFonts w:ascii="Lato" w:eastAsia="Times New Roman" w:hAnsi="Lato"/>
        </w:rPr>
        <w:t>Using an assistive or protective device prescribed by an appropriately trained professional or professional team.</w:t>
      </w:r>
    </w:p>
    <w:p w:rsidR="000A7544" w:rsidRDefault="006E0396">
      <w:pPr>
        <w:spacing w:after="0"/>
        <w:divId w:val="1086457361"/>
        <w:rPr>
          <w:rFonts w:ascii="Lato" w:eastAsia="Times New Roman" w:hAnsi="Lato"/>
        </w:rPr>
      </w:pPr>
      <w:r>
        <w:rPr>
          <w:rStyle w:val="Emphasis"/>
          <w:rFonts w:ascii="Lato" w:eastAsia="Times New Roman" w:hAnsi="Lato"/>
        </w:rPr>
        <w:t>Positive Behavior Supports</w:t>
      </w:r>
      <w:r>
        <w:rPr>
          <w:rFonts w:ascii="Lato" w:eastAsia="Times New Roman" w:hAnsi="Lato"/>
        </w:rPr>
        <w:t xml:space="preserve"> – A range of instructional and environmental supports to teach students prosocial alternatives to problem behavior and allow them multiple opportunities to practice prosocial skills and receive high rates of positive feedback.</w:t>
      </w:r>
      <w:r>
        <w:rPr>
          <w:rFonts w:ascii="Lato" w:eastAsia="Times New Roman" w:hAnsi="Lato"/>
        </w:rPr>
        <w:br/>
      </w:r>
      <w:r>
        <w:rPr>
          <w:rFonts w:ascii="Lato" w:eastAsia="Times New Roman" w:hAnsi="Lato"/>
        </w:rPr>
        <w:br/>
      </w:r>
      <w:r>
        <w:rPr>
          <w:rStyle w:val="Emphasis"/>
          <w:rFonts w:ascii="Lato" w:eastAsia="Times New Roman" w:hAnsi="Lato"/>
        </w:rPr>
        <w:t>Prone Restraint</w:t>
      </w:r>
      <w:r>
        <w:rPr>
          <w:rFonts w:ascii="Lato" w:eastAsia="Times New Roman" w:hAnsi="Lato"/>
        </w:rPr>
        <w:t xml:space="preserve"> – Using mechanical or physical restraint or both to restrict a student's movement while the student is lying with the student's front or face downward.</w:t>
      </w:r>
      <w:r>
        <w:rPr>
          <w:rFonts w:ascii="Lato" w:eastAsia="Times New Roman" w:hAnsi="Lato"/>
        </w:rPr>
        <w:br/>
      </w:r>
      <w:r>
        <w:rPr>
          <w:rFonts w:ascii="Lato" w:eastAsia="Times New Roman" w:hAnsi="Lato"/>
        </w:rPr>
        <w:br/>
      </w:r>
      <w:r>
        <w:rPr>
          <w:rStyle w:val="Emphasis"/>
          <w:rFonts w:ascii="Lato" w:eastAsia="Times New Roman" w:hAnsi="Lato"/>
        </w:rPr>
        <w:t>Restraint</w:t>
      </w:r>
      <w:r>
        <w:rPr>
          <w:rFonts w:ascii="Lato" w:eastAsia="Times New Roman" w:hAnsi="Lato"/>
        </w:rPr>
        <w:t xml:space="preserve"> – Includes, but is not limited to, mechanical restraint, physical restraint and prone restraint.</w:t>
      </w:r>
      <w:r>
        <w:rPr>
          <w:rFonts w:ascii="Lato" w:eastAsia="Times New Roman" w:hAnsi="Lato"/>
        </w:rPr>
        <w:br/>
      </w:r>
      <w:r>
        <w:rPr>
          <w:rFonts w:ascii="Lato" w:eastAsia="Times New Roman" w:hAnsi="Lato"/>
        </w:rPr>
        <w:br/>
      </w:r>
      <w:r>
        <w:rPr>
          <w:rStyle w:val="Emphasis"/>
          <w:rFonts w:ascii="Lato" w:eastAsia="Times New Roman" w:hAnsi="Lato"/>
        </w:rPr>
        <w:t>Seclusion</w:t>
      </w:r>
      <w:r>
        <w:rPr>
          <w:rFonts w:ascii="Lato" w:eastAsia="Times New Roman" w:hAnsi="Lato"/>
        </w:rPr>
        <w:t xml:space="preserve"> – The involuntary confinement of a student alone in a room or area that the student is physically prevented from leaving. This term shall not include: </w:t>
      </w:r>
    </w:p>
    <w:p w:rsidR="000A7544" w:rsidRDefault="006E0396">
      <w:pPr>
        <w:numPr>
          <w:ilvl w:val="0"/>
          <w:numId w:val="3"/>
        </w:numPr>
        <w:spacing w:before="100" w:beforeAutospacing="1" w:after="100" w:afterAutospacing="1" w:line="240" w:lineRule="auto"/>
        <w:divId w:val="1086457361"/>
        <w:rPr>
          <w:rFonts w:ascii="Lato" w:eastAsia="Times New Roman" w:hAnsi="Lato"/>
        </w:rPr>
      </w:pPr>
      <w:r>
        <w:rPr>
          <w:rFonts w:ascii="Lato" w:eastAsia="Times New Roman" w:hAnsi="Lato"/>
        </w:rPr>
        <w:t>A timeout;</w:t>
      </w:r>
      <w:r>
        <w:rPr>
          <w:rFonts w:ascii="Lato" w:eastAsia="Times New Roman" w:hAnsi="Lato"/>
        </w:rPr>
        <w:br/>
        <w:t> </w:t>
      </w:r>
    </w:p>
    <w:p w:rsidR="000A7544" w:rsidRDefault="006E0396">
      <w:pPr>
        <w:numPr>
          <w:ilvl w:val="0"/>
          <w:numId w:val="3"/>
        </w:numPr>
        <w:spacing w:before="100" w:beforeAutospacing="1" w:after="100" w:afterAutospacing="1" w:line="240" w:lineRule="auto"/>
        <w:divId w:val="1086457361"/>
        <w:rPr>
          <w:rFonts w:ascii="Lato" w:eastAsia="Times New Roman" w:hAnsi="Lato"/>
        </w:rPr>
      </w:pPr>
      <w:r>
        <w:rPr>
          <w:rFonts w:ascii="Lato" w:eastAsia="Times New Roman" w:hAnsi="Lato"/>
        </w:rPr>
        <w:t>In-school suspension;</w:t>
      </w:r>
      <w:r>
        <w:rPr>
          <w:rFonts w:ascii="Lato" w:eastAsia="Times New Roman" w:hAnsi="Lato"/>
        </w:rPr>
        <w:br/>
        <w:t> </w:t>
      </w:r>
    </w:p>
    <w:p w:rsidR="000A7544" w:rsidRDefault="006E0396">
      <w:pPr>
        <w:numPr>
          <w:ilvl w:val="0"/>
          <w:numId w:val="3"/>
        </w:numPr>
        <w:spacing w:before="100" w:beforeAutospacing="1" w:after="100" w:afterAutospacing="1" w:line="240" w:lineRule="auto"/>
        <w:divId w:val="1086457361"/>
        <w:rPr>
          <w:rFonts w:ascii="Lato" w:eastAsia="Times New Roman" w:hAnsi="Lato"/>
        </w:rPr>
      </w:pPr>
      <w:r>
        <w:rPr>
          <w:rFonts w:ascii="Lato" w:eastAsia="Times New Roman" w:hAnsi="Lato"/>
        </w:rPr>
        <w:t>Detention; or </w:t>
      </w:r>
      <w:r>
        <w:rPr>
          <w:rFonts w:ascii="Lato" w:eastAsia="Times New Roman" w:hAnsi="Lato"/>
        </w:rPr>
        <w:br/>
        <w:t> </w:t>
      </w:r>
    </w:p>
    <w:p w:rsidR="000A7544" w:rsidRDefault="006E0396">
      <w:pPr>
        <w:numPr>
          <w:ilvl w:val="0"/>
          <w:numId w:val="3"/>
        </w:numPr>
        <w:spacing w:before="100" w:beforeAutospacing="1" w:after="100" w:afterAutospacing="1" w:line="240" w:lineRule="auto"/>
        <w:divId w:val="1086457361"/>
        <w:rPr>
          <w:rFonts w:ascii="Lato" w:eastAsia="Times New Roman" w:hAnsi="Lato"/>
        </w:rPr>
      </w:pPr>
      <w:r>
        <w:rPr>
          <w:rFonts w:ascii="Lato" w:eastAsia="Times New Roman" w:hAnsi="Lato"/>
        </w:rPr>
        <w:t>Other appropriate disciplinary measures.</w:t>
      </w:r>
    </w:p>
    <w:p w:rsidR="000A7544" w:rsidRDefault="006E0396">
      <w:pPr>
        <w:spacing w:after="0"/>
        <w:divId w:val="1086457361"/>
        <w:rPr>
          <w:rFonts w:ascii="Lato" w:eastAsia="Times New Roman" w:hAnsi="Lato"/>
        </w:rPr>
      </w:pPr>
      <w:r>
        <w:rPr>
          <w:rStyle w:val="Emphasis"/>
          <w:rFonts w:ascii="Lato" w:eastAsia="Times New Roman" w:hAnsi="Lato"/>
        </w:rPr>
        <w:t xml:space="preserve">Timeout </w:t>
      </w:r>
      <w:r>
        <w:rPr>
          <w:rFonts w:ascii="Lato" w:eastAsia="Times New Roman" w:hAnsi="Lato"/>
        </w:rPr>
        <w:t xml:space="preserve">– A behavior management technique that is part of an approved program, involves the monitored separation of the student in a </w:t>
      </w:r>
      <w:proofErr w:type="spellStart"/>
      <w:r>
        <w:rPr>
          <w:rFonts w:ascii="Lato" w:eastAsia="Times New Roman" w:hAnsi="Lato"/>
        </w:rPr>
        <w:t>nonlocked</w:t>
      </w:r>
      <w:proofErr w:type="spellEnd"/>
      <w:r>
        <w:rPr>
          <w:rFonts w:ascii="Lato" w:eastAsia="Times New Roman" w:hAnsi="Lato"/>
        </w:rPr>
        <w:t xml:space="preserve"> setting, and is implemented for the purpose of calming. </w:t>
      </w:r>
    </w:p>
    <w:p w:rsidR="000A7544" w:rsidRDefault="006E0396">
      <w:pPr>
        <w:pStyle w:val="Heading3"/>
        <w:divId w:val="1086457361"/>
        <w:rPr>
          <w:rFonts w:ascii="Lato" w:eastAsia="Times New Roman" w:hAnsi="Lato"/>
        </w:rPr>
      </w:pPr>
      <w:r>
        <w:rPr>
          <w:rFonts w:ascii="Lato" w:eastAsia="Times New Roman" w:hAnsi="Lato"/>
        </w:rPr>
        <w:t>Seclusion and Restraint Limitations</w:t>
      </w:r>
    </w:p>
    <w:p w:rsidR="000A7544" w:rsidRDefault="006E0396">
      <w:pPr>
        <w:divId w:val="1086457361"/>
        <w:rPr>
          <w:rFonts w:ascii="Lato" w:eastAsia="Times New Roman" w:hAnsi="Lato"/>
        </w:rPr>
      </w:pPr>
      <w:r>
        <w:rPr>
          <w:rFonts w:ascii="Lato" w:eastAsia="Times New Roman" w:hAnsi="Lato"/>
        </w:rPr>
        <w:br/>
        <w:t xml:space="preserve">District personnel will reserve the use of seclusion or restraint for situations or conditions in which there is imminent danger of physical harm to self or others. Any student placed in seclusion or restraint shall be removed from such seclusion or restraint as soon as district personnel determine that the student is no longer an imminent danger to self or others.  </w:t>
      </w:r>
    </w:p>
    <w:p w:rsidR="000A7544" w:rsidRDefault="006E0396">
      <w:pPr>
        <w:pStyle w:val="Heading3"/>
        <w:divId w:val="1086457361"/>
        <w:rPr>
          <w:rFonts w:ascii="Lato" w:eastAsia="Times New Roman" w:hAnsi="Lato"/>
        </w:rPr>
      </w:pPr>
      <w:r>
        <w:rPr>
          <w:rFonts w:ascii="Lato" w:eastAsia="Times New Roman" w:hAnsi="Lato"/>
        </w:rPr>
        <w:t>Seclusion Spaces</w:t>
      </w:r>
    </w:p>
    <w:p w:rsidR="000A7544" w:rsidRDefault="006E0396">
      <w:pPr>
        <w:divId w:val="1086457361"/>
        <w:rPr>
          <w:rFonts w:ascii="Lato" w:eastAsia="Times New Roman" w:hAnsi="Lato"/>
        </w:rPr>
      </w:pPr>
      <w:r>
        <w:rPr>
          <w:rFonts w:ascii="Lato" w:eastAsia="Times New Roman" w:hAnsi="Lato"/>
        </w:rPr>
        <w:br/>
        <w:t xml:space="preserve">In the limited situations where seclusion is used, it must occur in a room that complies with applicable building codes. The space in which the student is confined should be a normal-sized meeting room or classroom commonly found in a school setting with standard lighting, ventilation, heating, cooling and ceiling height and that is free of objects that could cause harm to the student. </w:t>
      </w:r>
    </w:p>
    <w:p w:rsidR="000A7544" w:rsidRDefault="006E0396">
      <w:pPr>
        <w:pStyle w:val="Heading3"/>
        <w:divId w:val="1086457361"/>
        <w:rPr>
          <w:rFonts w:ascii="Lato" w:eastAsia="Times New Roman" w:hAnsi="Lato"/>
        </w:rPr>
      </w:pPr>
      <w:r>
        <w:rPr>
          <w:rFonts w:ascii="Lato" w:eastAsia="Times New Roman" w:hAnsi="Lato"/>
        </w:rPr>
        <w:t>Mechanical, Physical or Prone Restraint Limitations</w:t>
      </w:r>
    </w:p>
    <w:p w:rsidR="000A7544" w:rsidRDefault="006E0396">
      <w:pPr>
        <w:divId w:val="1086457361"/>
        <w:rPr>
          <w:rFonts w:ascii="Lato" w:eastAsia="Times New Roman" w:hAnsi="Lato"/>
        </w:rPr>
      </w:pPr>
      <w:r>
        <w:rPr>
          <w:rFonts w:ascii="Lato" w:eastAsia="Times New Roman" w:hAnsi="Lato"/>
        </w:rPr>
        <w:br/>
        <w:t xml:space="preserve">District personnel are prohibited from using any mechanical, physical or prone restraint technique that: </w:t>
      </w:r>
    </w:p>
    <w:p w:rsidR="000A7544" w:rsidRDefault="006E0396">
      <w:pPr>
        <w:numPr>
          <w:ilvl w:val="0"/>
          <w:numId w:val="4"/>
        </w:numPr>
        <w:spacing w:before="100" w:beforeAutospacing="1" w:after="100" w:afterAutospacing="1" w:line="240" w:lineRule="auto"/>
        <w:divId w:val="1086457361"/>
        <w:rPr>
          <w:rFonts w:ascii="Lato" w:eastAsia="Times New Roman" w:hAnsi="Lato"/>
        </w:rPr>
      </w:pPr>
      <w:r>
        <w:rPr>
          <w:rFonts w:ascii="Lato" w:eastAsia="Times New Roman" w:hAnsi="Lato"/>
        </w:rPr>
        <w:lastRenderedPageBreak/>
        <w:t>Obstructs views of the student's face;</w:t>
      </w:r>
      <w:r>
        <w:rPr>
          <w:rFonts w:ascii="Lato" w:eastAsia="Times New Roman" w:hAnsi="Lato"/>
        </w:rPr>
        <w:br/>
        <w:t> </w:t>
      </w:r>
    </w:p>
    <w:p w:rsidR="000A7544" w:rsidRDefault="006E0396">
      <w:pPr>
        <w:numPr>
          <w:ilvl w:val="0"/>
          <w:numId w:val="4"/>
        </w:numPr>
        <w:spacing w:before="100" w:beforeAutospacing="1" w:after="100" w:afterAutospacing="1" w:line="240" w:lineRule="auto"/>
        <w:divId w:val="1086457361"/>
        <w:rPr>
          <w:rFonts w:ascii="Lato" w:eastAsia="Times New Roman" w:hAnsi="Lato"/>
        </w:rPr>
      </w:pPr>
      <w:r>
        <w:rPr>
          <w:rFonts w:ascii="Lato" w:eastAsia="Times New Roman" w:hAnsi="Lato"/>
        </w:rPr>
        <w:t>Obstructs the student's respiratory airway, impairs the student's breathing or respiratory capacity, or restricts the movement required for normal breathing to cause positional or postural asphyxia;</w:t>
      </w:r>
      <w:r>
        <w:rPr>
          <w:rFonts w:ascii="Lato" w:eastAsia="Times New Roman" w:hAnsi="Lato"/>
        </w:rPr>
        <w:br/>
        <w:t> </w:t>
      </w:r>
    </w:p>
    <w:p w:rsidR="000A7544" w:rsidRDefault="006E0396">
      <w:pPr>
        <w:numPr>
          <w:ilvl w:val="0"/>
          <w:numId w:val="4"/>
        </w:numPr>
        <w:spacing w:before="100" w:beforeAutospacing="1" w:after="100" w:afterAutospacing="1" w:line="240" w:lineRule="auto"/>
        <w:divId w:val="1086457361"/>
        <w:rPr>
          <w:rFonts w:ascii="Lato" w:eastAsia="Times New Roman" w:hAnsi="Lato"/>
        </w:rPr>
      </w:pPr>
      <w:r>
        <w:rPr>
          <w:rFonts w:ascii="Lato" w:eastAsia="Times New Roman" w:hAnsi="Lato"/>
        </w:rPr>
        <w:t>Places pressure or weight on or causes the compression of the student's chest, lungs, sternum, diaphragm, back, abdomen or genitals;</w:t>
      </w:r>
      <w:r>
        <w:rPr>
          <w:rFonts w:ascii="Lato" w:eastAsia="Times New Roman" w:hAnsi="Lato"/>
        </w:rPr>
        <w:br/>
        <w:t> </w:t>
      </w:r>
    </w:p>
    <w:p w:rsidR="000A7544" w:rsidRDefault="006E0396">
      <w:pPr>
        <w:numPr>
          <w:ilvl w:val="0"/>
          <w:numId w:val="4"/>
        </w:numPr>
        <w:spacing w:before="100" w:beforeAutospacing="1" w:after="100" w:afterAutospacing="1" w:line="240" w:lineRule="auto"/>
        <w:divId w:val="1086457361"/>
        <w:rPr>
          <w:rFonts w:ascii="Lato" w:eastAsia="Times New Roman" w:hAnsi="Lato"/>
        </w:rPr>
      </w:pPr>
      <w:r>
        <w:rPr>
          <w:rFonts w:ascii="Lato" w:eastAsia="Times New Roman" w:hAnsi="Lato"/>
        </w:rPr>
        <w:t>Obstructs the student's circulation of blood;</w:t>
      </w:r>
      <w:r>
        <w:rPr>
          <w:rFonts w:ascii="Lato" w:eastAsia="Times New Roman" w:hAnsi="Lato"/>
        </w:rPr>
        <w:br/>
        <w:t> </w:t>
      </w:r>
    </w:p>
    <w:p w:rsidR="000A7544" w:rsidRDefault="006E0396">
      <w:pPr>
        <w:numPr>
          <w:ilvl w:val="0"/>
          <w:numId w:val="4"/>
        </w:numPr>
        <w:spacing w:before="100" w:beforeAutospacing="1" w:after="100" w:afterAutospacing="1" w:line="240" w:lineRule="auto"/>
        <w:divId w:val="1086457361"/>
        <w:rPr>
          <w:rFonts w:ascii="Lato" w:eastAsia="Times New Roman" w:hAnsi="Lato"/>
        </w:rPr>
      </w:pPr>
      <w:r>
        <w:rPr>
          <w:rFonts w:ascii="Lato" w:eastAsia="Times New Roman" w:hAnsi="Lato"/>
        </w:rPr>
        <w:t>Involves pushing on or into the student's mouth, nose, eyes or any part of the face or involves covering the face or body with anything including, but not limited to, soft objects such as pillows, blankets or washcloths;</w:t>
      </w:r>
      <w:r>
        <w:rPr>
          <w:rFonts w:ascii="Lato" w:eastAsia="Times New Roman" w:hAnsi="Lato"/>
        </w:rPr>
        <w:br/>
        <w:t> </w:t>
      </w:r>
    </w:p>
    <w:p w:rsidR="000A7544" w:rsidRDefault="006E0396">
      <w:pPr>
        <w:numPr>
          <w:ilvl w:val="0"/>
          <w:numId w:val="4"/>
        </w:numPr>
        <w:spacing w:before="100" w:beforeAutospacing="1" w:after="100" w:afterAutospacing="1" w:line="240" w:lineRule="auto"/>
        <w:divId w:val="1086457361"/>
        <w:rPr>
          <w:rFonts w:ascii="Lato" w:eastAsia="Times New Roman" w:hAnsi="Lato"/>
        </w:rPr>
      </w:pPr>
      <w:r>
        <w:rPr>
          <w:rFonts w:ascii="Lato" w:eastAsia="Times New Roman" w:hAnsi="Lato"/>
        </w:rPr>
        <w:t>Endangers the student's life or significantly exacerbates the student's medical condition;</w:t>
      </w:r>
      <w:r>
        <w:rPr>
          <w:rFonts w:ascii="Lato" w:eastAsia="Times New Roman" w:hAnsi="Lato"/>
        </w:rPr>
        <w:br/>
        <w:t> </w:t>
      </w:r>
    </w:p>
    <w:p w:rsidR="000A7544" w:rsidRDefault="006E0396">
      <w:pPr>
        <w:numPr>
          <w:ilvl w:val="0"/>
          <w:numId w:val="4"/>
        </w:numPr>
        <w:spacing w:before="100" w:beforeAutospacing="1" w:after="100" w:afterAutospacing="1" w:line="240" w:lineRule="auto"/>
        <w:divId w:val="1086457361"/>
        <w:rPr>
          <w:rFonts w:ascii="Lato" w:eastAsia="Times New Roman" w:hAnsi="Lato"/>
        </w:rPr>
      </w:pPr>
      <w:r>
        <w:rPr>
          <w:rFonts w:ascii="Lato" w:eastAsia="Times New Roman" w:hAnsi="Lato"/>
        </w:rPr>
        <w:t>Is purposely designed to inflict pain; or</w:t>
      </w:r>
      <w:r>
        <w:rPr>
          <w:rFonts w:ascii="Lato" w:eastAsia="Times New Roman" w:hAnsi="Lato"/>
        </w:rPr>
        <w:br/>
        <w:t> </w:t>
      </w:r>
    </w:p>
    <w:p w:rsidR="000A7544" w:rsidRDefault="006E0396">
      <w:pPr>
        <w:numPr>
          <w:ilvl w:val="0"/>
          <w:numId w:val="4"/>
        </w:numPr>
        <w:spacing w:before="100" w:beforeAutospacing="1" w:after="100" w:afterAutospacing="1" w:line="240" w:lineRule="auto"/>
        <w:divId w:val="1086457361"/>
        <w:rPr>
          <w:rFonts w:ascii="Lato" w:eastAsia="Times New Roman" w:hAnsi="Lato"/>
        </w:rPr>
      </w:pPr>
      <w:r>
        <w:rPr>
          <w:rFonts w:ascii="Lato" w:eastAsia="Times New Roman" w:hAnsi="Lato"/>
        </w:rPr>
        <w:t>Restricts the student from communicating. If an employee physically restrains a student who uses sign language or an augmentative mode of communication as the student's primary mode of communication, the student shall be permitted to have their hands free of restraint for brief periods unless district personnel determine that such freedom appears likely to result in harm to self or others.</w:t>
      </w:r>
    </w:p>
    <w:p w:rsidR="000A7544" w:rsidRDefault="006E0396">
      <w:pPr>
        <w:pStyle w:val="Heading3"/>
        <w:divId w:val="1086457361"/>
        <w:rPr>
          <w:rFonts w:ascii="Lato" w:eastAsia="Times New Roman" w:hAnsi="Lato"/>
        </w:rPr>
      </w:pPr>
      <w:r>
        <w:rPr>
          <w:rFonts w:ascii="Lato" w:eastAsia="Times New Roman" w:hAnsi="Lato"/>
        </w:rPr>
        <w:t>Parent/Guardian Notifications</w:t>
      </w:r>
    </w:p>
    <w:p w:rsidR="000A7544" w:rsidRDefault="006E0396">
      <w:pPr>
        <w:divId w:val="1086457361"/>
        <w:rPr>
          <w:rFonts w:ascii="Lato" w:eastAsia="Times New Roman" w:hAnsi="Lato"/>
        </w:rPr>
      </w:pPr>
      <w:r>
        <w:rPr>
          <w:rFonts w:ascii="Lato" w:eastAsia="Times New Roman" w:hAnsi="Lato"/>
        </w:rPr>
        <w:br/>
        <w:t xml:space="preserve">The district will attempt to notify the parents/guardians of the student as soon as possible but no later than one hour after the end of the school day on which seclusion or restraint occurred. Notification will be oral or electronic and will include a statement indicating that the district or district contractor will provide the parents/guardians a copy of the report required by law and this policy within five school days. </w:t>
      </w:r>
    </w:p>
    <w:p w:rsidR="000A7544" w:rsidRDefault="006E0396">
      <w:pPr>
        <w:pStyle w:val="Heading3"/>
        <w:divId w:val="1086457361"/>
        <w:rPr>
          <w:rFonts w:ascii="Lato" w:eastAsia="Times New Roman" w:hAnsi="Lato"/>
        </w:rPr>
      </w:pPr>
      <w:r>
        <w:rPr>
          <w:rFonts w:ascii="Lato" w:eastAsia="Times New Roman" w:hAnsi="Lato"/>
        </w:rPr>
        <w:t>Monitoring and Reporting</w:t>
      </w:r>
    </w:p>
    <w:p w:rsidR="000A7544" w:rsidRDefault="006E0396">
      <w:pPr>
        <w:divId w:val="1086457361"/>
        <w:rPr>
          <w:rFonts w:ascii="Lato" w:eastAsia="Times New Roman" w:hAnsi="Lato"/>
        </w:rPr>
      </w:pPr>
      <w:r>
        <w:rPr>
          <w:rFonts w:ascii="Lato" w:eastAsia="Times New Roman" w:hAnsi="Lato"/>
        </w:rPr>
        <w:br/>
        <w:t xml:space="preserve">District personnel shall monitor the use of student seclusion or restraint and shall complete a report for each incident that minimally contains the following: </w:t>
      </w:r>
    </w:p>
    <w:p w:rsidR="000A7544" w:rsidRDefault="006E0396">
      <w:pPr>
        <w:numPr>
          <w:ilvl w:val="0"/>
          <w:numId w:val="5"/>
        </w:numPr>
        <w:spacing w:before="100" w:beforeAutospacing="1" w:after="100" w:afterAutospacing="1" w:line="240" w:lineRule="auto"/>
        <w:divId w:val="1086457361"/>
        <w:rPr>
          <w:rFonts w:ascii="Lato" w:eastAsia="Times New Roman" w:hAnsi="Lato"/>
        </w:rPr>
      </w:pPr>
      <w:r>
        <w:rPr>
          <w:rFonts w:ascii="Lato" w:eastAsia="Times New Roman" w:hAnsi="Lato"/>
        </w:rPr>
        <w:t>The date, time of day, location, duration and description of the incident and interventions;</w:t>
      </w:r>
      <w:r>
        <w:rPr>
          <w:rFonts w:ascii="Lato" w:eastAsia="Times New Roman" w:hAnsi="Lato"/>
        </w:rPr>
        <w:br/>
        <w:t> </w:t>
      </w:r>
    </w:p>
    <w:p w:rsidR="000A7544" w:rsidRDefault="006E0396">
      <w:pPr>
        <w:numPr>
          <w:ilvl w:val="0"/>
          <w:numId w:val="5"/>
        </w:numPr>
        <w:spacing w:before="100" w:beforeAutospacing="1" w:after="100" w:afterAutospacing="1" w:line="240" w:lineRule="auto"/>
        <w:divId w:val="1086457361"/>
        <w:rPr>
          <w:rFonts w:ascii="Lato" w:eastAsia="Times New Roman" w:hAnsi="Lato"/>
        </w:rPr>
      </w:pPr>
      <w:r>
        <w:rPr>
          <w:rFonts w:ascii="Lato" w:eastAsia="Times New Roman" w:hAnsi="Lato"/>
        </w:rPr>
        <w:t>Any event leading to the incident and the reason for using seclusion or restraint;</w:t>
      </w:r>
      <w:r>
        <w:rPr>
          <w:rFonts w:ascii="Lato" w:eastAsia="Times New Roman" w:hAnsi="Lato"/>
        </w:rPr>
        <w:br/>
        <w:t> </w:t>
      </w:r>
    </w:p>
    <w:p w:rsidR="000A7544" w:rsidRDefault="006E0396">
      <w:pPr>
        <w:numPr>
          <w:ilvl w:val="0"/>
          <w:numId w:val="5"/>
        </w:numPr>
        <w:spacing w:before="100" w:beforeAutospacing="1" w:after="100" w:afterAutospacing="1" w:line="240" w:lineRule="auto"/>
        <w:divId w:val="1086457361"/>
        <w:rPr>
          <w:rFonts w:ascii="Lato" w:eastAsia="Times New Roman" w:hAnsi="Lato"/>
        </w:rPr>
      </w:pPr>
      <w:r>
        <w:rPr>
          <w:rFonts w:ascii="Lato" w:eastAsia="Times New Roman" w:hAnsi="Lato"/>
        </w:rPr>
        <w:t>A description of the methods of seclusion or restraint used;</w:t>
      </w:r>
      <w:r>
        <w:rPr>
          <w:rFonts w:ascii="Lato" w:eastAsia="Times New Roman" w:hAnsi="Lato"/>
        </w:rPr>
        <w:br/>
        <w:t> </w:t>
      </w:r>
    </w:p>
    <w:p w:rsidR="000A7544" w:rsidRDefault="006E0396">
      <w:pPr>
        <w:numPr>
          <w:ilvl w:val="0"/>
          <w:numId w:val="5"/>
        </w:numPr>
        <w:spacing w:before="100" w:beforeAutospacing="1" w:after="100" w:afterAutospacing="1" w:line="240" w:lineRule="auto"/>
        <w:divId w:val="1086457361"/>
        <w:rPr>
          <w:rFonts w:ascii="Lato" w:eastAsia="Times New Roman" w:hAnsi="Lato"/>
        </w:rPr>
      </w:pPr>
      <w:r>
        <w:rPr>
          <w:rFonts w:ascii="Lato" w:eastAsia="Times New Roman" w:hAnsi="Lato"/>
        </w:rPr>
        <w:t>The nature and extent of any injury to the student;</w:t>
      </w:r>
      <w:r>
        <w:rPr>
          <w:rFonts w:ascii="Lato" w:eastAsia="Times New Roman" w:hAnsi="Lato"/>
        </w:rPr>
        <w:br/>
        <w:t> </w:t>
      </w:r>
    </w:p>
    <w:p w:rsidR="000A7544" w:rsidRDefault="006E0396">
      <w:pPr>
        <w:numPr>
          <w:ilvl w:val="0"/>
          <w:numId w:val="5"/>
        </w:numPr>
        <w:spacing w:before="100" w:beforeAutospacing="1" w:after="100" w:afterAutospacing="1" w:line="240" w:lineRule="auto"/>
        <w:divId w:val="1086457361"/>
        <w:rPr>
          <w:rFonts w:ascii="Lato" w:eastAsia="Times New Roman" w:hAnsi="Lato"/>
        </w:rPr>
      </w:pPr>
      <w:r>
        <w:rPr>
          <w:rFonts w:ascii="Lato" w:eastAsia="Times New Roman" w:hAnsi="Lato"/>
        </w:rPr>
        <w:t>The names, roles and certifications of any district personnel involved in the use of seclusion or restraint;</w:t>
      </w:r>
      <w:r>
        <w:rPr>
          <w:rFonts w:ascii="Lato" w:eastAsia="Times New Roman" w:hAnsi="Lato"/>
        </w:rPr>
        <w:br/>
        <w:t> </w:t>
      </w:r>
    </w:p>
    <w:p w:rsidR="000A7544" w:rsidRDefault="006E0396">
      <w:pPr>
        <w:numPr>
          <w:ilvl w:val="0"/>
          <w:numId w:val="5"/>
        </w:numPr>
        <w:spacing w:before="100" w:beforeAutospacing="1" w:after="100" w:afterAutospacing="1" w:line="240" w:lineRule="auto"/>
        <w:divId w:val="1086457361"/>
        <w:rPr>
          <w:rFonts w:ascii="Lato" w:eastAsia="Times New Roman" w:hAnsi="Lato"/>
        </w:rPr>
      </w:pPr>
      <w:r>
        <w:rPr>
          <w:rFonts w:ascii="Lato" w:eastAsia="Times New Roman" w:hAnsi="Lato"/>
        </w:rPr>
        <w:t>The name, role and signature of the person who prepared the report;</w:t>
      </w:r>
      <w:r>
        <w:rPr>
          <w:rFonts w:ascii="Lato" w:eastAsia="Times New Roman" w:hAnsi="Lato"/>
        </w:rPr>
        <w:br/>
        <w:t> </w:t>
      </w:r>
    </w:p>
    <w:p w:rsidR="000A7544" w:rsidRDefault="006E0396">
      <w:pPr>
        <w:numPr>
          <w:ilvl w:val="0"/>
          <w:numId w:val="5"/>
        </w:numPr>
        <w:spacing w:before="100" w:beforeAutospacing="1" w:after="100" w:afterAutospacing="1" w:line="240" w:lineRule="auto"/>
        <w:divId w:val="1086457361"/>
        <w:rPr>
          <w:rFonts w:ascii="Lato" w:eastAsia="Times New Roman" w:hAnsi="Lato"/>
        </w:rPr>
      </w:pPr>
      <w:r>
        <w:rPr>
          <w:rFonts w:ascii="Lato" w:eastAsia="Times New Roman" w:hAnsi="Lato"/>
        </w:rPr>
        <w:t>The name of an employee whom the parent/guardian can contact regarding the incident and use of seclusion or restraint;</w:t>
      </w:r>
      <w:r>
        <w:rPr>
          <w:rFonts w:ascii="Lato" w:eastAsia="Times New Roman" w:hAnsi="Lato"/>
        </w:rPr>
        <w:br/>
        <w:t> </w:t>
      </w:r>
    </w:p>
    <w:p w:rsidR="000A7544" w:rsidRDefault="006E0396">
      <w:pPr>
        <w:numPr>
          <w:ilvl w:val="0"/>
          <w:numId w:val="5"/>
        </w:numPr>
        <w:spacing w:before="100" w:beforeAutospacing="1" w:after="100" w:afterAutospacing="1" w:line="240" w:lineRule="auto"/>
        <w:divId w:val="1086457361"/>
        <w:rPr>
          <w:rFonts w:ascii="Lato" w:eastAsia="Times New Roman" w:hAnsi="Lato"/>
        </w:rPr>
      </w:pPr>
      <w:r>
        <w:rPr>
          <w:rFonts w:ascii="Lato" w:eastAsia="Times New Roman" w:hAnsi="Lato"/>
        </w:rPr>
        <w:t>The name of an employee to contact if the parent/guardian wishes to file a complaint; and</w:t>
      </w:r>
      <w:r>
        <w:rPr>
          <w:rFonts w:ascii="Lato" w:eastAsia="Times New Roman" w:hAnsi="Lato"/>
        </w:rPr>
        <w:br/>
        <w:t> </w:t>
      </w:r>
    </w:p>
    <w:p w:rsidR="000A7544" w:rsidRDefault="006E0396">
      <w:pPr>
        <w:numPr>
          <w:ilvl w:val="0"/>
          <w:numId w:val="5"/>
        </w:numPr>
        <w:spacing w:before="100" w:beforeAutospacing="1" w:after="100" w:afterAutospacing="1" w:line="240" w:lineRule="auto"/>
        <w:divId w:val="1086457361"/>
        <w:rPr>
          <w:rFonts w:ascii="Lato" w:eastAsia="Times New Roman" w:hAnsi="Lato"/>
        </w:rPr>
      </w:pPr>
      <w:r>
        <w:rPr>
          <w:rFonts w:ascii="Lato" w:eastAsia="Times New Roman" w:hAnsi="Lato"/>
        </w:rPr>
        <w:lastRenderedPageBreak/>
        <w:t>A statement directing parents/guardians to a sociological, emotional or behavioral support organization and a hotline number to report child abuse and neglect.</w:t>
      </w:r>
    </w:p>
    <w:p w:rsidR="000A7544" w:rsidRDefault="006E0396">
      <w:pPr>
        <w:spacing w:after="0"/>
        <w:divId w:val="1086457361"/>
        <w:rPr>
          <w:rFonts w:ascii="Lato" w:eastAsia="Times New Roman" w:hAnsi="Lato"/>
        </w:rPr>
      </w:pPr>
      <w:r>
        <w:rPr>
          <w:rFonts w:ascii="Lato" w:eastAsia="Times New Roman" w:hAnsi="Lato"/>
        </w:rPr>
        <w:t xml:space="preserve">The report will be an education record of the student. The district or district contractor will provide a copy of the report to the parent/guardian of the student within five school days, and a copy of each incident report will be given to the Department of Elementary and Secondary Education within 30 days of the incident. </w:t>
      </w:r>
    </w:p>
    <w:p w:rsidR="000A7544" w:rsidRDefault="006E0396">
      <w:pPr>
        <w:pStyle w:val="Heading3"/>
        <w:divId w:val="1086457361"/>
        <w:rPr>
          <w:rFonts w:ascii="Lato" w:eastAsia="Times New Roman" w:hAnsi="Lato"/>
        </w:rPr>
      </w:pPr>
      <w:r>
        <w:rPr>
          <w:rFonts w:ascii="Lato" w:eastAsia="Times New Roman" w:hAnsi="Lato"/>
        </w:rPr>
        <w:t>Training</w:t>
      </w:r>
    </w:p>
    <w:p w:rsidR="000A7544" w:rsidRDefault="006E0396">
      <w:pPr>
        <w:divId w:val="1086457361"/>
        <w:rPr>
          <w:rFonts w:ascii="Lato" w:eastAsia="Times New Roman" w:hAnsi="Lato"/>
        </w:rPr>
      </w:pPr>
      <w:r>
        <w:rPr>
          <w:rFonts w:ascii="Lato" w:eastAsia="Times New Roman" w:hAnsi="Lato"/>
        </w:rPr>
        <w:br/>
        <w:t xml:space="preserve">All district personnel, as defined in this policy, will annually review this policy and district procedures involving the use of seclusion and restraint. Personnel who use seclusion or restraint shall annually complete mandatory training in the specific seclusion and restraint techniques used by the district. </w:t>
      </w:r>
    </w:p>
    <w:p w:rsidR="000A7544" w:rsidRDefault="006E0396">
      <w:pPr>
        <w:pStyle w:val="Heading3"/>
        <w:divId w:val="1086457361"/>
        <w:rPr>
          <w:rFonts w:ascii="Lato" w:eastAsia="Times New Roman" w:hAnsi="Lato"/>
        </w:rPr>
      </w:pPr>
      <w:r>
        <w:rPr>
          <w:rFonts w:ascii="Lato" w:eastAsia="Times New Roman" w:hAnsi="Lato"/>
        </w:rPr>
        <w:t>Retaliation Prohibited</w:t>
      </w:r>
    </w:p>
    <w:p w:rsidR="000A7544" w:rsidRDefault="006E0396">
      <w:pPr>
        <w:divId w:val="1086457361"/>
        <w:rPr>
          <w:rFonts w:ascii="Lato" w:eastAsia="Times New Roman" w:hAnsi="Lato"/>
        </w:rPr>
      </w:pPr>
      <w:r>
        <w:rPr>
          <w:rFonts w:ascii="Lato" w:eastAsia="Times New Roman" w:hAnsi="Lato"/>
        </w:rPr>
        <w:br/>
        <w:t>School board members, administrators and district personnel will not retaliate against any person for reporting a violation of this policy or failure to follow state law regarding seclusion and restraint. Likewise, retaliation is prohibited against any person for providing information regarding a violation of law regulating seclusion and restraint.</w:t>
      </w:r>
      <w:r>
        <w:rPr>
          <w:rFonts w:ascii="Lato" w:eastAsia="Times New Roman" w:hAnsi="Lato"/>
        </w:rPr>
        <w:br/>
      </w:r>
      <w:r>
        <w:rPr>
          <w:rFonts w:ascii="Lato" w:eastAsia="Times New Roman" w:hAnsi="Lato"/>
        </w:rPr>
        <w:br/>
        <w:t xml:space="preserve">  </w:t>
      </w:r>
    </w:p>
    <w:p w:rsidR="00EB6F04" w:rsidRDefault="006E0396">
      <w:pPr>
        <w:spacing w:after="0"/>
      </w:pPr>
      <w:proofErr w:type="gramStart"/>
      <w:r>
        <w:rPr>
          <w:rFonts w:ascii="Lato"/>
        </w:rPr>
        <w:t>©</w:t>
      </w:r>
      <w:r>
        <w:rPr>
          <w:rFonts w:ascii="Lato"/>
        </w:rPr>
        <w:t xml:space="preserve"> 2022 (03/22), Missouri School Boards' Association.</w:t>
      </w:r>
      <w:proofErr w:type="gramEnd"/>
    </w:p>
    <w:p w:rsidR="00EB6F04" w:rsidRDefault="006E0396">
      <w:pPr>
        <w:spacing w:after="0"/>
      </w:pPr>
      <w:r>
        <w:rPr>
          <w:rFonts w:ascii="Lato"/>
        </w:rPr>
        <w:t>Version: [JGGA-C.1C]</w:t>
      </w:r>
    </w:p>
    <w:p w:rsidR="00EB6F04" w:rsidRDefault="00EB6F04">
      <w:pPr>
        <w:pBdr>
          <w:bottom w:val="single" w:sz="5" w:space="1" w:color="auto"/>
        </w:pBdr>
      </w:pPr>
    </w:p>
    <w:p w:rsidR="000A7544" w:rsidRDefault="006E0396">
      <w:pPr>
        <w:divId w:val="1088119884"/>
        <w:rPr>
          <w:rFonts w:ascii="Lato" w:eastAsia="Times New Roman" w:hAnsi="Lato"/>
        </w:rPr>
      </w:pPr>
      <w:r>
        <w:rPr>
          <w:rFonts w:ascii="Lato" w:eastAsia="Times New Roman" w:hAnsi="Lato"/>
        </w:rPr>
        <w:t> </w:t>
      </w:r>
    </w:p>
    <w:p w:rsidR="000A7544" w:rsidRDefault="006E0396">
      <w:pPr>
        <w:pStyle w:val="Heading2"/>
        <w:shd w:val="clear" w:color="auto" w:fill="FFFFFF"/>
        <w:spacing w:before="0" w:beforeAutospacing="0" w:after="0" w:afterAutospacing="0"/>
        <w:textAlignment w:val="baseline"/>
        <w:divId w:val="1238713311"/>
        <w:rPr>
          <w:rFonts w:ascii="Lato Black" w:eastAsia="Times New Roman" w:hAnsi="Lato Black"/>
          <w:b w:val="0"/>
          <w:bCs w:val="0"/>
          <w:color w:val="000000"/>
          <w:sz w:val="20"/>
          <w:szCs w:val="20"/>
        </w:rPr>
      </w:pPr>
      <w:r>
        <w:rPr>
          <w:rFonts w:ascii="Lato Black" w:eastAsia="Times New Roman" w:hAnsi="Lato Black"/>
          <w:b w:val="0"/>
          <w:bCs w:val="0"/>
          <w:color w:val="000000"/>
          <w:sz w:val="20"/>
          <w:szCs w:val="20"/>
        </w:rPr>
        <w:t>Policy Reference Disclaimer:</w:t>
      </w:r>
    </w:p>
    <w:p w:rsidR="000A7544" w:rsidRDefault="006E0396">
      <w:pPr>
        <w:divId w:val="1238713311"/>
        <w:rPr>
          <w:rFonts w:ascii="Lato" w:eastAsia="Times New Roman" w:hAnsi="Lato"/>
        </w:rPr>
      </w:pPr>
      <w:r>
        <w:rPr>
          <w:rFonts w:ascii="Lato" w:eastAsia="Times New Roman" w:hAnsi="Lato"/>
          <w:color w:val="000000"/>
          <w:sz w:val="20"/>
          <w:szCs w:val="20"/>
          <w:shd w:val="clear" w:color="auto" w:fill="FFFFFF"/>
        </w:rPr>
        <w:t> These references are not intended to be part of the policy itself, nor do they indicate the basis or authority for the board to enact this policy. Instead, they are provided as additional resources for those interested in the subject matter of the policy.</w:t>
      </w:r>
      <w:r>
        <w:rPr>
          <w:rFonts w:ascii="Lato" w:eastAsia="Times New Roman" w:hAnsi="Lato"/>
        </w:rPr>
        <w:t xml:space="preserve"> </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EB6F04">
        <w:tc>
          <w:tcPr>
            <w:tcW w:w="4017" w:type="dxa"/>
          </w:tcPr>
          <w:p w:rsidR="00EB6F04" w:rsidRDefault="006E0396">
            <w:pPr>
              <w:spacing w:after="0"/>
            </w:pPr>
            <w:r>
              <w:rPr>
                <w:rFonts w:ascii="Lato Black"/>
                <w:b/>
              </w:rPr>
              <w:t>State</w:t>
            </w:r>
          </w:p>
        </w:tc>
        <w:tc>
          <w:tcPr>
            <w:tcW w:w="5961" w:type="dxa"/>
          </w:tcPr>
          <w:p w:rsidR="00EB6F04" w:rsidRDefault="006E0396">
            <w:pPr>
              <w:spacing w:after="0"/>
            </w:pPr>
            <w:r>
              <w:rPr>
                <w:rFonts w:ascii="Lato Black"/>
                <w:b/>
              </w:rPr>
              <w:t>Description</w:t>
            </w:r>
          </w:p>
        </w:tc>
      </w:tr>
      <w:tr w:rsidR="00EB6F04">
        <w:tc>
          <w:tcPr>
            <w:tcW w:w="4017" w:type="dxa"/>
          </w:tcPr>
          <w:p w:rsidR="00EB6F04" w:rsidRDefault="006E0396">
            <w:pPr>
              <w:spacing w:after="0"/>
            </w:pPr>
            <w:r>
              <w:rPr>
                <w:rFonts w:ascii="Lato"/>
              </w:rPr>
              <w:t>§</w:t>
            </w:r>
            <w:r>
              <w:rPr>
                <w:rFonts w:ascii="Lato"/>
              </w:rPr>
              <w:t xml:space="preserve">160.261, </w:t>
            </w:r>
            <w:proofErr w:type="spellStart"/>
            <w:r>
              <w:rPr>
                <w:rFonts w:ascii="Lato"/>
              </w:rPr>
              <w:t>RSMo</w:t>
            </w:r>
            <w:proofErr w:type="spellEnd"/>
            <w:r>
              <w:rPr>
                <w:rFonts w:ascii="Lato"/>
              </w:rPr>
              <w:t>.</w:t>
            </w:r>
          </w:p>
        </w:tc>
        <w:tc>
          <w:tcPr>
            <w:tcW w:w="5961" w:type="dxa"/>
          </w:tcPr>
          <w:p w:rsidR="00EB6F04" w:rsidRDefault="005045F3">
            <w:hyperlink r:id="rId6" w:docLocation="https://revisor.mo.gov/main/Home.aspx">
              <w:r w:rsidR="006E0396">
                <w:rPr>
                  <w:rFonts w:ascii="Lato"/>
                  <w:color w:val="0000FF" w:themeColor="hyperlink"/>
                  <w:u w:val="single"/>
                </w:rPr>
                <w:t>State Statute</w:t>
              </w:r>
            </w:hyperlink>
          </w:p>
        </w:tc>
      </w:tr>
      <w:tr w:rsidR="00EB6F04">
        <w:tc>
          <w:tcPr>
            <w:tcW w:w="4017" w:type="dxa"/>
          </w:tcPr>
          <w:p w:rsidR="00EB6F04" w:rsidRDefault="006E0396">
            <w:pPr>
              <w:spacing w:after="0"/>
            </w:pPr>
            <w:r>
              <w:rPr>
                <w:rFonts w:ascii="Lato"/>
              </w:rPr>
              <w:t>§</w:t>
            </w:r>
            <w:r>
              <w:rPr>
                <w:rFonts w:ascii="Lato"/>
              </w:rPr>
              <w:t xml:space="preserve">160.263, </w:t>
            </w:r>
            <w:proofErr w:type="spellStart"/>
            <w:r>
              <w:rPr>
                <w:rFonts w:ascii="Lato"/>
              </w:rPr>
              <w:t>RSMo</w:t>
            </w:r>
            <w:proofErr w:type="spellEnd"/>
            <w:r>
              <w:rPr>
                <w:rFonts w:ascii="Lato"/>
              </w:rPr>
              <w:t>.</w:t>
            </w:r>
          </w:p>
        </w:tc>
        <w:tc>
          <w:tcPr>
            <w:tcW w:w="5961" w:type="dxa"/>
          </w:tcPr>
          <w:p w:rsidR="00EB6F04" w:rsidRDefault="005045F3">
            <w:hyperlink r:id="rId7" w:docLocation="https://revisor.mo.gov/main/Home.aspx">
              <w:r w:rsidR="006E0396">
                <w:rPr>
                  <w:rFonts w:ascii="Lato"/>
                  <w:color w:val="0000FF" w:themeColor="hyperlink"/>
                  <w:u w:val="single"/>
                </w:rPr>
                <w:t>State Statute</w:t>
              </w:r>
            </w:hyperlink>
          </w:p>
        </w:tc>
      </w:tr>
      <w:tr w:rsidR="00EB6F04">
        <w:tc>
          <w:tcPr>
            <w:tcW w:w="4017" w:type="dxa"/>
          </w:tcPr>
          <w:p w:rsidR="00EB6F04" w:rsidRDefault="006E0396">
            <w:pPr>
              <w:spacing w:after="0"/>
            </w:pPr>
            <w:r>
              <w:rPr>
                <w:rFonts w:ascii="Lato"/>
              </w:rPr>
              <w:t>§</w:t>
            </w:r>
            <w:r>
              <w:rPr>
                <w:rFonts w:ascii="Lato"/>
              </w:rPr>
              <w:t xml:space="preserve">563.061, </w:t>
            </w:r>
            <w:proofErr w:type="spellStart"/>
            <w:r>
              <w:rPr>
                <w:rFonts w:ascii="Lato"/>
              </w:rPr>
              <w:t>RSMo</w:t>
            </w:r>
            <w:proofErr w:type="spellEnd"/>
            <w:r>
              <w:rPr>
                <w:rFonts w:ascii="Lato"/>
              </w:rPr>
              <w:t>.</w:t>
            </w:r>
          </w:p>
        </w:tc>
        <w:tc>
          <w:tcPr>
            <w:tcW w:w="5961" w:type="dxa"/>
          </w:tcPr>
          <w:p w:rsidR="00EB6F04" w:rsidRDefault="005045F3">
            <w:hyperlink r:id="rId8" w:docLocation="https://revisor.mo.gov/main/Home.aspx">
              <w:r w:rsidR="006E0396">
                <w:rPr>
                  <w:rFonts w:ascii="Lato"/>
                  <w:color w:val="0000FF" w:themeColor="hyperlink"/>
                  <w:u w:val="single"/>
                </w:rPr>
                <w:t>State Statute</w:t>
              </w:r>
            </w:hyperlink>
          </w:p>
        </w:tc>
      </w:tr>
    </w:tbl>
    <w:p w:rsidR="006E0396" w:rsidRDefault="006E0396"/>
    <w:sectPr w:rsidR="006E0396">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lack">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57FD2"/>
    <w:multiLevelType w:val="multilevel"/>
    <w:tmpl w:val="E7740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1F6B8B"/>
    <w:multiLevelType w:val="multilevel"/>
    <w:tmpl w:val="F2369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227671"/>
    <w:multiLevelType w:val="multilevel"/>
    <w:tmpl w:val="4B182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A5DF0"/>
    <w:multiLevelType w:val="multilevel"/>
    <w:tmpl w:val="101A1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763EF1"/>
    <w:multiLevelType w:val="multilevel"/>
    <w:tmpl w:val="DE0AE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F04"/>
    <w:rsid w:val="000A7544"/>
    <w:rsid w:val="001B1E97"/>
    <w:rsid w:val="005045F3"/>
    <w:rsid w:val="006E0396"/>
    <w:rsid w:val="00EB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457361">
      <w:bodyDiv w:val="1"/>
      <w:marLeft w:val="0"/>
      <w:marRight w:val="0"/>
      <w:marTop w:val="0"/>
      <w:marBottom w:val="0"/>
      <w:divBdr>
        <w:top w:val="none" w:sz="0" w:space="0" w:color="auto"/>
        <w:left w:val="none" w:sz="0" w:space="0" w:color="auto"/>
        <w:bottom w:val="none" w:sz="0" w:space="0" w:color="auto"/>
        <w:right w:val="none" w:sz="0" w:space="0" w:color="auto"/>
      </w:divBdr>
    </w:div>
    <w:div w:id="1238713311">
      <w:bodyDiv w:val="1"/>
      <w:marLeft w:val="0"/>
      <w:marRight w:val="0"/>
      <w:marTop w:val="0"/>
      <w:marBottom w:val="0"/>
      <w:divBdr>
        <w:top w:val="none" w:sz="0" w:space="0" w:color="auto"/>
        <w:left w:val="none" w:sz="0" w:space="0" w:color="auto"/>
        <w:bottom w:val="none" w:sz="0" w:space="0" w:color="auto"/>
        <w:right w:val="none" w:sz="0" w:space="0" w:color="auto"/>
      </w:divBdr>
      <w:divsChild>
        <w:div w:id="1785953551">
          <w:marLeft w:val="0"/>
          <w:marRight w:val="0"/>
          <w:marTop w:val="0"/>
          <w:marBottom w:val="0"/>
          <w:divBdr>
            <w:top w:val="none" w:sz="0" w:space="0" w:color="auto"/>
            <w:left w:val="none" w:sz="0" w:space="0" w:color="auto"/>
            <w:bottom w:val="none" w:sz="0" w:space="0" w:color="auto"/>
            <w:right w:val="none" w:sz="0" w:space="0" w:color="auto"/>
          </w:divBdr>
          <w:divsChild>
            <w:div w:id="1337227909">
              <w:marLeft w:val="0"/>
              <w:marRight w:val="0"/>
              <w:marTop w:val="0"/>
              <w:marBottom w:val="0"/>
              <w:divBdr>
                <w:top w:val="none" w:sz="0" w:space="0" w:color="auto"/>
                <w:left w:val="none" w:sz="0" w:space="0" w:color="auto"/>
                <w:bottom w:val="none" w:sz="0" w:space="0" w:color="auto"/>
                <w:right w:val="none" w:sz="0" w:space="0" w:color="auto"/>
              </w:divBdr>
              <w:divsChild>
                <w:div w:id="10881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or.mo.gov/main/Home.aspx" TargetMode="External"/><Relationship Id="rId3" Type="http://schemas.microsoft.com/office/2007/relationships/stylesWithEffects" Target="stylesWithEffects.xml"/><Relationship Id="rId7" Type="http://schemas.openxmlformats.org/officeDocument/2006/relationships/hyperlink" Target="https://revisor.mo.gov/main/Hom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visor.mo.gov/main/Home.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Karma</cp:lastModifiedBy>
  <cp:revision>4</cp:revision>
  <dcterms:created xsi:type="dcterms:W3CDTF">2023-01-13T17:19:00Z</dcterms:created>
  <dcterms:modified xsi:type="dcterms:W3CDTF">2023-01-13T17:39:00Z</dcterms:modified>
</cp:coreProperties>
</file>